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4D7F" w14:textId="77777777" w:rsidR="00E43379" w:rsidRPr="001E3987" w:rsidRDefault="00E43379" w:rsidP="00E43379">
      <w:pPr>
        <w:jc w:val="center"/>
        <w:rPr>
          <w:rFonts w:ascii="Calibri" w:hAnsi="Calibri"/>
          <w:b/>
          <w:bCs/>
          <w:lang w:val="az-Latn-AZ"/>
        </w:rPr>
      </w:pPr>
      <w:r w:rsidRPr="001E3987">
        <w:rPr>
          <w:rFonts w:ascii="Calibri" w:hAnsi="Calibri"/>
          <w:b/>
          <w:bCs/>
        </w:rPr>
        <w:t>IB, A level,</w:t>
      </w:r>
      <w:r w:rsidRPr="001E3987">
        <w:rPr>
          <w:rFonts w:ascii="Calibri" w:hAnsi="Calibri"/>
          <w:b/>
          <w:bCs/>
          <w:lang w:val="az-Latn-AZ"/>
        </w:rPr>
        <w:t xml:space="preserve"> AP imtahan nəticələri ilə qəbul qaydaları</w:t>
      </w:r>
    </w:p>
    <w:p w14:paraId="51B8D02F" w14:textId="77777777" w:rsidR="00E43379" w:rsidRDefault="00E43379" w:rsidP="00E43379">
      <w:pPr>
        <w:rPr>
          <w:lang w:val="az-Latn-AZ"/>
        </w:rPr>
      </w:pPr>
    </w:p>
    <w:p w14:paraId="3A178D1E" w14:textId="77777777" w:rsidR="00E43379" w:rsidRDefault="00E43379" w:rsidP="00E43379">
      <w:pPr>
        <w:pStyle w:val="NormalWeb"/>
        <w:jc w:val="both"/>
        <w:rPr>
          <w:rFonts w:ascii="Calibri" w:hAnsi="Calibri" w:cs="Arial"/>
          <w:lang w:val="az-Latn-AZ"/>
        </w:rPr>
      </w:pPr>
      <w:r w:rsidRPr="007A6B71">
        <w:rPr>
          <w:rFonts w:ascii="Calibri" w:hAnsi="Calibri" w:cs="Arial"/>
          <w:lang w:val="az-Latn-AZ"/>
        </w:rPr>
        <w:t>Nazirlər Kabinetinin 20 may 2019-cu il tarixli “</w:t>
      </w:r>
      <w:r w:rsidRPr="00220DBD">
        <w:rPr>
          <w:rFonts w:ascii="Calibri" w:hAnsi="Calibri" w:cs="Arial"/>
          <w:lang w:val="az-Latn-AZ"/>
        </w:rPr>
        <w:t xml:space="preserve">Beynəlxalq səviyyədə akkreditasiya olunan təhsil proqramları üzrə təhsil almış abituriyentlərin ali təhsil müəssisələrinə müsabiqədənkənar qəbulu </w:t>
      </w:r>
      <w:r>
        <w:rPr>
          <w:rFonts w:ascii="Calibri" w:hAnsi="Calibri" w:cs="Arial"/>
          <w:lang w:val="az-Latn-AZ"/>
        </w:rPr>
        <w:t>ş</w:t>
      </w:r>
      <w:r w:rsidRPr="00220DBD">
        <w:rPr>
          <w:rFonts w:ascii="Calibri" w:hAnsi="Calibri" w:cs="Arial"/>
          <w:lang w:val="az-Latn-AZ"/>
        </w:rPr>
        <w:t xml:space="preserve">ərtləri”nin təsdiq edilməsi haqqında </w:t>
      </w:r>
      <w:r w:rsidRPr="007A6B71">
        <w:rPr>
          <w:rFonts w:ascii="Calibri" w:hAnsi="Calibri" w:cs="Arial"/>
          <w:lang w:val="az-Latn-AZ"/>
        </w:rPr>
        <w:t>q</w:t>
      </w:r>
      <w:r>
        <w:rPr>
          <w:rFonts w:ascii="Calibri" w:hAnsi="Calibri" w:cs="Arial"/>
          <w:lang w:val="az-Latn-AZ"/>
        </w:rPr>
        <w:t xml:space="preserve">ərarına əsasən ADA Universtetinə Beynəlxalq Bakalavriat Diplom Proqramı (IB Diploma Programme), </w:t>
      </w:r>
      <w:r w:rsidRPr="00220DBD">
        <w:rPr>
          <w:rFonts w:ascii="Calibri" w:hAnsi="Calibri" w:cs="Arial"/>
          <w:lang w:val="az-Latn-AZ"/>
        </w:rPr>
        <w:t>Təhsil haqqında ümumi sertifikatın yüksək səviyyəsi</w:t>
      </w:r>
      <w:r>
        <w:rPr>
          <w:rFonts w:ascii="Calibri" w:hAnsi="Calibri" w:cs="Arial"/>
          <w:lang w:val="az-Latn-AZ"/>
        </w:rPr>
        <w:t xml:space="preserve"> (A level - </w:t>
      </w:r>
      <w:r w:rsidRPr="00220DBD">
        <w:rPr>
          <w:rFonts w:ascii="Calibri" w:hAnsi="Calibri" w:cs="Arial"/>
          <w:lang w:val="az-Latn-AZ"/>
        </w:rPr>
        <w:t>Advanced Level of General Certificate of Education)</w:t>
      </w:r>
      <w:r w:rsidRPr="007A6B71">
        <w:rPr>
          <w:rFonts w:ascii="Calibri" w:hAnsi="Calibri" w:cs="Arial"/>
          <w:lang w:val="az-Latn-AZ"/>
        </w:rPr>
        <w:t xml:space="preserve"> və </w:t>
      </w:r>
      <w:r w:rsidRPr="00220DBD">
        <w:rPr>
          <w:rFonts w:ascii="Calibri" w:hAnsi="Calibri" w:cs="Arial"/>
          <w:lang w:val="az-Latn-AZ"/>
        </w:rPr>
        <w:t xml:space="preserve">Yüksək yerləşdirmə (Advanced Placement) </w:t>
      </w:r>
      <w:r>
        <w:rPr>
          <w:rFonts w:ascii="Calibri" w:hAnsi="Calibri" w:cs="Arial"/>
          <w:lang w:val="az-Latn-AZ"/>
        </w:rPr>
        <w:t xml:space="preserve">üzrə müsabiqədənkənar qəbul aparılır. </w:t>
      </w:r>
    </w:p>
    <w:tbl>
      <w:tblPr>
        <w:tblpPr w:leftFromText="180" w:rightFromText="180" w:vertAnchor="text" w:horzAnchor="margin" w:tblpXSpec="center" w:tblpY="550"/>
        <w:tblOverlap w:val="never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726"/>
        <w:gridCol w:w="1843"/>
        <w:gridCol w:w="1843"/>
      </w:tblGrid>
      <w:tr w:rsidR="00E43379" w:rsidRPr="00B11BBB" w14:paraId="7EB828C3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7CE9" w14:textId="77777777" w:rsidR="00E43379" w:rsidRDefault="00E43379" w:rsidP="0024352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sz w:val="20"/>
                <w:szCs w:val="20"/>
                <w:lang w:val="az-Latn-AZ"/>
              </w:rPr>
            </w:pPr>
          </w:p>
          <w:p w14:paraId="32FDB549" w14:textId="77777777" w:rsidR="00E43379" w:rsidRPr="007A6B71" w:rsidRDefault="00E43379" w:rsidP="0024352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 w:cs="Arial"/>
                <w:b/>
                <w:bCs/>
                <w:sz w:val="20"/>
                <w:szCs w:val="20"/>
                <w:lang w:val="az-Latn-AZ"/>
              </w:rPr>
              <w:t>İxtisaslar</w:t>
            </w:r>
          </w:p>
          <w:p w14:paraId="4A2085AA" w14:textId="77777777" w:rsidR="00E43379" w:rsidRPr="007A6B71" w:rsidRDefault="00E43379" w:rsidP="0024352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sz w:val="20"/>
                <w:szCs w:val="20"/>
                <w:lang w:val="az-Latn-A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3EC" w14:textId="77777777" w:rsidR="00E43379" w:rsidRPr="007A6B71" w:rsidRDefault="00E43379" w:rsidP="002435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b/>
                <w:bCs/>
                <w:sz w:val="20"/>
                <w:szCs w:val="20"/>
                <w:lang w:val="az-Latn-AZ"/>
              </w:rPr>
              <w:t>IB Diplom Proqramı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46C" w14:textId="77777777" w:rsidR="00E43379" w:rsidRPr="007A6B71" w:rsidRDefault="00E43379" w:rsidP="002435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b/>
                <w:bCs/>
                <w:sz w:val="20"/>
                <w:szCs w:val="20"/>
                <w:lang w:val="az-Latn-AZ"/>
              </w:rPr>
              <w:t>A level səviyyəsi (müvafiq 3 imtahan fənni üzrə)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04FC" w14:textId="77777777" w:rsidR="00E43379" w:rsidRPr="007A6B71" w:rsidRDefault="00E43379" w:rsidP="002435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b/>
                <w:bCs/>
                <w:sz w:val="20"/>
                <w:szCs w:val="20"/>
                <w:lang w:val="az-Latn-AZ"/>
              </w:rPr>
              <w:t>AP səviyyəsi (müvafiq 3 imtahan fənni üzrə)</w:t>
            </w:r>
          </w:p>
        </w:tc>
      </w:tr>
      <w:tr w:rsidR="00E43379" w:rsidRPr="007A6B71" w14:paraId="005356C4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AC49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 w:cs="Arial"/>
                <w:sz w:val="20"/>
                <w:szCs w:val="20"/>
                <w:lang w:val="az-Latn-AZ"/>
              </w:rPr>
              <w:t xml:space="preserve">Kompüter </w:t>
            </w:r>
            <w:r>
              <w:rPr>
                <w:rFonts w:ascii="Calibri" w:hAnsi="Calibri" w:cs="Arial"/>
                <w:sz w:val="20"/>
                <w:szCs w:val="20"/>
                <w:lang w:val="az-Latn-AZ"/>
              </w:rPr>
              <w:t>elmləri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58A5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699E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44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0207E062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5A0C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A6B71">
              <w:rPr>
                <w:rFonts w:ascii="Calibri" w:hAnsi="Calibri" w:cs="Arial"/>
                <w:sz w:val="20"/>
                <w:szCs w:val="20"/>
              </w:rPr>
              <w:t>Komp</w:t>
            </w:r>
            <w:proofErr w:type="spellEnd"/>
            <w:r w:rsidRPr="007A6B71">
              <w:rPr>
                <w:rFonts w:ascii="Calibri" w:hAnsi="Calibri" w:cs="Arial"/>
                <w:sz w:val="20"/>
                <w:szCs w:val="20"/>
                <w:lang w:val="az-Latn-AZ"/>
              </w:rPr>
              <w:t xml:space="preserve">üter </w:t>
            </w:r>
            <w:r>
              <w:rPr>
                <w:rFonts w:ascii="Calibri" w:hAnsi="Calibri" w:cs="Arial"/>
                <w:sz w:val="20"/>
                <w:szCs w:val="20"/>
                <w:lang w:val="az-Latn-AZ"/>
              </w:rPr>
              <w:t>mühəndisliyi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44B8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E30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1790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7FCE7248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7C6D4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  <w:lang w:val="az-Latn-AZ"/>
              </w:rPr>
            </w:pPr>
            <w:r>
              <w:rPr>
                <w:rFonts w:ascii="Calibri" w:hAnsi="Calibri" w:cs="Arial"/>
                <w:sz w:val="20"/>
                <w:szCs w:val="20"/>
                <w:lang w:val="az-Latn-AZ"/>
              </w:rPr>
              <w:t>İnformasiya texnologiyaları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17A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11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F70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2F28BEFE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2B38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 w:cs="Arial"/>
                <w:sz w:val="20"/>
                <w:szCs w:val="20"/>
                <w:lang w:val="az-Latn-AZ"/>
              </w:rPr>
              <w:t>Riyaziyyat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EF2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E52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28E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0F56F966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33F2F6" w14:textId="77777777" w:rsidR="00E43379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Elektrik ve elektronika mühəndisliyi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54A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47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BE0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F26BA5" w14:paraId="71AB24E6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A7A4D" w14:textId="77777777" w:rsidR="00E43379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Kompüter elmləri və biznes analitikası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0F3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7DD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5AFA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285F07A7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383F7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Biznesin idarə edilməsi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0AC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D70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B59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14171BF9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4C7D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İqtisadiyyat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F14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9A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94C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2535B59D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DE3F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Maliyyə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8F7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1303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0E2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208C1A12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1703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Beynəlxalq münasibətlər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C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B9B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793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205E0E1E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EBF2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Hüquqşünaslıq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80BA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22EE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99D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5AE8A516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065D2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Dövlət və ictimai münasibətlər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9B9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CF48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529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  <w:tr w:rsidR="00E43379" w:rsidRPr="007A6B71" w14:paraId="57D79263" w14:textId="77777777" w:rsidTr="0024352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22C1D" w14:textId="77777777" w:rsidR="00E43379" w:rsidRPr="007A6B71" w:rsidRDefault="00E43379" w:rsidP="0024352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az-Latn-AZ"/>
              </w:rPr>
            </w:pPr>
            <w:r>
              <w:rPr>
                <w:rFonts w:ascii="Calibri" w:hAnsi="Calibri"/>
                <w:sz w:val="20"/>
                <w:szCs w:val="20"/>
                <w:lang w:val="az-Latn-AZ"/>
              </w:rPr>
              <w:t>Kommunikasiya və rəqəmsal media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653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3410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0F59" w14:textId="77777777" w:rsidR="00E43379" w:rsidRPr="007A6B71" w:rsidRDefault="00E43379" w:rsidP="00243520">
            <w:pPr>
              <w:jc w:val="center"/>
              <w:rPr>
                <w:rFonts w:ascii="Calibri" w:hAnsi="Calibri"/>
                <w:sz w:val="20"/>
                <w:szCs w:val="20"/>
                <w:lang w:val="az-Latn-AZ"/>
              </w:rPr>
            </w:pPr>
            <w:r w:rsidRPr="007A6B71">
              <w:rPr>
                <w:rFonts w:ascii="Calibri" w:hAnsi="Calibri"/>
                <w:sz w:val="20"/>
                <w:szCs w:val="20"/>
                <w:lang w:val="az-Latn-AZ"/>
              </w:rPr>
              <w:t>3</w:t>
            </w:r>
          </w:p>
        </w:tc>
      </w:tr>
    </w:tbl>
    <w:p w14:paraId="0417BDA1" w14:textId="77777777" w:rsidR="00E43379" w:rsidRPr="00B11BBB" w:rsidRDefault="00E43379" w:rsidP="00E43379">
      <w:pPr>
        <w:pStyle w:val="NormalWeb"/>
        <w:jc w:val="both"/>
        <w:rPr>
          <w:rFonts w:ascii="Calibri" w:hAnsi="Calibri" w:cs="Arial"/>
          <w:lang w:val="az-Latn-AZ"/>
        </w:rPr>
      </w:pPr>
      <w:r>
        <w:rPr>
          <w:rFonts w:ascii="Calibri" w:hAnsi="Calibri" w:cs="Arial"/>
        </w:rPr>
        <w:t>H</w:t>
      </w:r>
      <w:r>
        <w:rPr>
          <w:rFonts w:ascii="Calibri" w:hAnsi="Calibri" w:cs="Arial"/>
          <w:lang w:val="az-Latn-AZ"/>
        </w:rPr>
        <w:t>ər il minimal keçid balları Dövlət İmtahan Mərkəzi tərəfindən müəyyənləşdirilir (DİM ilə dəqiqləşdirilməlidir). Aşağıdakı cədvəldə müvafiq ixtisaslar üzrə 2022-ci ilin minimal keçid balları ilə tanış ola bilərsiniz.</w:t>
      </w:r>
    </w:p>
    <w:p w14:paraId="1DD27EEA" w14:textId="77777777" w:rsidR="00E43379" w:rsidRPr="001E3987" w:rsidRDefault="00E43379" w:rsidP="00E43379">
      <w:pPr>
        <w:jc w:val="both"/>
        <w:rPr>
          <w:rFonts w:ascii="Calibri" w:hAnsi="Calibri"/>
        </w:rPr>
      </w:pPr>
      <w:r w:rsidRPr="001E3987">
        <w:rPr>
          <w:rFonts w:ascii="Calibri" w:hAnsi="Calibri"/>
          <w:lang w:val="az-Latn-AZ"/>
        </w:rPr>
        <w:t>Qəbul qaydaları aşağıdakı kimidir</w:t>
      </w:r>
      <w:r w:rsidRPr="001E3987">
        <w:rPr>
          <w:rFonts w:ascii="Calibri" w:hAnsi="Calibri"/>
        </w:rPr>
        <w:t>:</w:t>
      </w:r>
    </w:p>
    <w:p w14:paraId="2F5B9E0B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</w:p>
    <w:p w14:paraId="68CAC6F6" w14:textId="77777777" w:rsidR="00E43379" w:rsidRPr="001E3987" w:rsidRDefault="00E43379" w:rsidP="00E43379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ADA Universitetinin elektron ərizə forması</w:t>
      </w:r>
      <w:r>
        <w:rPr>
          <w:rFonts w:ascii="Calibri" w:hAnsi="Calibri"/>
          <w:lang w:val="az-Latn-AZ"/>
        </w:rPr>
        <w:t xml:space="preserve"> 15 iyun, 2023-cü il tarixinədək </w:t>
      </w:r>
      <w:r w:rsidRPr="001E3987">
        <w:rPr>
          <w:rFonts w:ascii="Calibri" w:hAnsi="Calibri"/>
          <w:lang w:val="az-Latn-AZ"/>
        </w:rPr>
        <w:t>doldurulma</w:t>
      </w:r>
      <w:r>
        <w:rPr>
          <w:rFonts w:ascii="Calibri" w:hAnsi="Calibri"/>
          <w:lang w:val="az-Latn-AZ"/>
        </w:rPr>
        <w:t>lıdır.</w:t>
      </w:r>
    </w:p>
    <w:p w14:paraId="463FC9B2" w14:textId="77777777" w:rsidR="00E43379" w:rsidRPr="001E3987" w:rsidRDefault="00E43379" w:rsidP="00E43379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 xml:space="preserve">Dövlət İmtahan Mərkəzinin (DİM) </w:t>
      </w:r>
      <w:r>
        <w:rPr>
          <w:rFonts w:ascii="Calibri" w:hAnsi="Calibri"/>
          <w:lang w:val="az-Latn-AZ"/>
        </w:rPr>
        <w:t xml:space="preserve">internet səhifəsində abituriyentin </w:t>
      </w:r>
      <w:r w:rsidRPr="001E3987">
        <w:rPr>
          <w:rFonts w:ascii="Calibri" w:hAnsi="Calibri"/>
          <w:lang w:val="az-Latn-AZ"/>
        </w:rPr>
        <w:t>elektron ərizə forması</w:t>
      </w:r>
      <w:r>
        <w:rPr>
          <w:rFonts w:ascii="Calibri" w:hAnsi="Calibri"/>
          <w:lang w:val="az-Latn-AZ"/>
        </w:rPr>
        <w:t xml:space="preserve"> elan olunmuş son tarixədək</w:t>
      </w:r>
      <w:r w:rsidRPr="001E3987">
        <w:rPr>
          <w:rFonts w:ascii="Calibri" w:hAnsi="Calibri"/>
          <w:lang w:val="az-Latn-AZ"/>
        </w:rPr>
        <w:t xml:space="preserve"> doldurulma</w:t>
      </w:r>
      <w:r>
        <w:rPr>
          <w:rFonts w:ascii="Calibri" w:hAnsi="Calibri"/>
          <w:lang w:val="az-Latn-AZ"/>
        </w:rPr>
        <w:t xml:space="preserve">lıdır. (Son müraciət tarixi DİM ilə dəqiqləşdirilməlidir). </w:t>
      </w:r>
    </w:p>
    <w:p w14:paraId="182994F2" w14:textId="77777777" w:rsidR="00E43379" w:rsidRPr="001E3987" w:rsidRDefault="00E43379" w:rsidP="00E43379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İmtahan nəticələrinin (IB, A level, AP) rəsmi elektron portaldan ADA Universitetinə və DİM-ə göndərilməsi</w:t>
      </w:r>
    </w:p>
    <w:p w14:paraId="0E43D53E" w14:textId="77777777" w:rsidR="00E43379" w:rsidRPr="001E3987" w:rsidRDefault="00E43379" w:rsidP="00E43379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DİM-in ərizə formasının çap nüsxəsi və imtahan nəticələrinin DİM-ə təqdim edilməsi</w:t>
      </w:r>
    </w:p>
    <w:p w14:paraId="5B587062" w14:textId="77777777" w:rsidR="00E43379" w:rsidRPr="001E3987" w:rsidRDefault="00E43379" w:rsidP="00E43379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 xml:space="preserve">Azərbaycan vətəndaşlarının </w:t>
      </w:r>
      <w:r>
        <w:rPr>
          <w:rFonts w:ascii="Calibri" w:hAnsi="Calibri"/>
          <w:lang w:val="az-Latn-AZ"/>
        </w:rPr>
        <w:t xml:space="preserve">DİM tərəfindən keçirilən </w:t>
      </w:r>
      <w:r w:rsidRPr="001E3987">
        <w:rPr>
          <w:rFonts w:ascii="Calibri" w:hAnsi="Calibri"/>
          <w:lang w:val="az-Latn-AZ"/>
        </w:rPr>
        <w:t>Azərbaycan dili</w:t>
      </w:r>
      <w:r>
        <w:rPr>
          <w:rFonts w:ascii="Calibri" w:hAnsi="Calibri"/>
          <w:lang w:val="az-Latn-AZ"/>
        </w:rPr>
        <w:t xml:space="preserve"> dövlət dili kimi</w:t>
      </w:r>
      <w:r w:rsidRPr="001E3987">
        <w:rPr>
          <w:rFonts w:ascii="Calibri" w:hAnsi="Calibri"/>
          <w:lang w:val="az-Latn-AZ"/>
        </w:rPr>
        <w:t xml:space="preserve"> imtahanı</w:t>
      </w:r>
      <w:r>
        <w:rPr>
          <w:rFonts w:ascii="Calibri" w:hAnsi="Calibri"/>
          <w:lang w:val="az-Latn-AZ"/>
        </w:rPr>
        <w:t>nı</w:t>
      </w:r>
      <w:r w:rsidRPr="001E3987">
        <w:rPr>
          <w:rFonts w:ascii="Calibri" w:hAnsi="Calibri"/>
          <w:lang w:val="az-Latn-AZ"/>
        </w:rPr>
        <w:t xml:space="preserve"> verərək məqbul qiymət alması </w:t>
      </w:r>
    </w:p>
    <w:p w14:paraId="6ADC36AA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</w:p>
    <w:p w14:paraId="1D2A1A83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A level/AP nəticələri olanlar aşağıdakı fənlər üzrə imtahan verməlidirlər:</w:t>
      </w:r>
    </w:p>
    <w:p w14:paraId="7347C5B7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I Qrup – Riyaziyyat, Kimya, Fizika</w:t>
      </w:r>
    </w:p>
    <w:p w14:paraId="2378EB2D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II Qrup – Riyaziyyat, Coğrafiya, Tarix</w:t>
      </w:r>
    </w:p>
    <w:p w14:paraId="70E2F430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>III Qrup – İngilis dili, Tarix, Ədəbiyyat</w:t>
      </w:r>
    </w:p>
    <w:p w14:paraId="4DBEC348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</w:p>
    <w:p w14:paraId="2A568616" w14:textId="77777777" w:rsidR="00E43379" w:rsidRPr="001E3987" w:rsidRDefault="00E43379" w:rsidP="00E43379">
      <w:pPr>
        <w:jc w:val="both"/>
        <w:rPr>
          <w:rFonts w:ascii="Calibri" w:hAnsi="Calibri"/>
          <w:lang w:val="az-Latn-AZ"/>
        </w:rPr>
      </w:pPr>
      <w:r w:rsidRPr="001E3987">
        <w:rPr>
          <w:rFonts w:ascii="Calibri" w:hAnsi="Calibri"/>
          <w:lang w:val="az-Latn-AZ"/>
        </w:rPr>
        <w:t xml:space="preserve">Qeyd: IB, A level, AP imtahanı nəticələri ilə ADA Universitetinə müraciət edənlərdən əlavə ingilis dili (IELTS, TOEFL, Duolingo, PTE) nəticələri tələb olunmur.  </w:t>
      </w:r>
    </w:p>
    <w:p w14:paraId="4EB8504A" w14:textId="77777777" w:rsidR="00393032" w:rsidRPr="00E43379" w:rsidRDefault="00393032">
      <w:pPr>
        <w:rPr>
          <w:lang w:val="az-Latn-AZ"/>
        </w:rPr>
      </w:pPr>
    </w:p>
    <w:sectPr w:rsidR="00393032" w:rsidRPr="00E4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1705"/>
    <w:multiLevelType w:val="hybridMultilevel"/>
    <w:tmpl w:val="7A6C0F6E"/>
    <w:lvl w:ilvl="0" w:tplc="D966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3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9"/>
    <w:rsid w:val="00393032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0D86"/>
  <w15:chartTrackingRefBased/>
  <w15:docId w15:val="{AC15511C-3798-4F5A-9914-1D04EA3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3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Elshad Goyushov</dc:creator>
  <cp:keywords/>
  <dc:description/>
  <cp:lastModifiedBy>Elshad Goyushov</cp:lastModifiedBy>
  <cp:revision>1</cp:revision>
  <dcterms:created xsi:type="dcterms:W3CDTF">2022-12-05T20:25:00Z</dcterms:created>
  <dcterms:modified xsi:type="dcterms:W3CDTF">2022-12-05T20:26:00Z</dcterms:modified>
</cp:coreProperties>
</file>